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71507" w:rsidRDefault="00AC66A8">
      <w:pPr>
        <w:jc w:val="center"/>
        <w:rPr>
          <w:b/>
          <w:sz w:val="28"/>
          <w:szCs w:val="28"/>
          <w:u w:val="single"/>
        </w:rPr>
      </w:pPr>
      <w:r>
        <w:rPr>
          <w:b/>
          <w:sz w:val="28"/>
          <w:szCs w:val="28"/>
          <w:u w:val="single"/>
        </w:rPr>
        <w:t>Craven Local Plan: Residential Site Selection Process</w:t>
      </w:r>
    </w:p>
    <w:p w:rsidR="00671507" w:rsidRDefault="00AC66A8">
      <w:pPr>
        <w:rPr>
          <w:b/>
          <w:sz w:val="24"/>
          <w:szCs w:val="24"/>
        </w:rPr>
      </w:pPr>
      <w:r>
        <w:rPr>
          <w:b/>
          <w:sz w:val="24"/>
          <w:szCs w:val="24"/>
        </w:rPr>
        <w:t xml:space="preserve">Settlement Name: </w:t>
      </w:r>
      <w:r>
        <w:rPr>
          <w:sz w:val="24"/>
          <w:szCs w:val="24"/>
        </w:rPr>
        <w:t>Bentham</w:t>
      </w:r>
    </w:p>
    <w:p w:rsidR="00671507" w:rsidRDefault="00AC66A8">
      <w:pPr>
        <w:rPr>
          <w:sz w:val="24"/>
          <w:szCs w:val="24"/>
        </w:rPr>
      </w:pPr>
      <w:r>
        <w:rPr>
          <w:b/>
          <w:sz w:val="24"/>
          <w:szCs w:val="24"/>
        </w:rPr>
        <w:t xml:space="preserve">Site Number and Address: </w:t>
      </w:r>
      <w:r w:rsidR="00714578">
        <w:rPr>
          <w:sz w:val="24"/>
          <w:szCs w:val="24"/>
        </w:rPr>
        <w:t xml:space="preserve">LB012; </w:t>
      </w:r>
      <w:proofErr w:type="spellStart"/>
      <w:r w:rsidR="00714578">
        <w:rPr>
          <w:sz w:val="24"/>
          <w:szCs w:val="24"/>
        </w:rPr>
        <w:t>Wenning</w:t>
      </w:r>
      <w:proofErr w:type="spellEnd"/>
      <w:r w:rsidR="00714578">
        <w:rPr>
          <w:sz w:val="24"/>
          <w:szCs w:val="24"/>
        </w:rPr>
        <w:t xml:space="preserve"> View, Low Bentham Road</w:t>
      </w:r>
    </w:p>
    <w:p w:rsidR="00671507" w:rsidRDefault="00AC66A8">
      <w:pPr>
        <w:rPr>
          <w:b/>
          <w:sz w:val="24"/>
          <w:szCs w:val="24"/>
          <w:u w:val="single"/>
        </w:rPr>
      </w:pPr>
      <w:r>
        <w:rPr>
          <w:b/>
          <w:sz w:val="24"/>
          <w:szCs w:val="24"/>
          <w:u w:val="single"/>
        </w:rPr>
        <w:t>Stage 1: Settlement Level Analysis (Sustainability Appraisal)</w:t>
      </w:r>
    </w:p>
    <w:p w:rsidR="00671507" w:rsidRDefault="00AC66A8">
      <w:pPr>
        <w:rPr>
          <w:b/>
          <w:sz w:val="24"/>
          <w:szCs w:val="24"/>
          <w:u w:val="single"/>
        </w:rPr>
      </w:pPr>
      <w:r>
        <w:rPr>
          <w:noProof/>
        </w:rPr>
        <w:drawing>
          <wp:inline distT="0" distB="0" distL="0" distR="0">
            <wp:extent cx="8912027" cy="542290"/>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8"/>
                    <a:srcRect/>
                    <a:stretch>
                      <a:fillRect/>
                    </a:stretch>
                  </pic:blipFill>
                  <pic:spPr>
                    <a:xfrm>
                      <a:off x="0" y="0"/>
                      <a:ext cx="8912027" cy="542290"/>
                    </a:xfrm>
                    <a:prstGeom prst="rect">
                      <a:avLst/>
                    </a:prstGeom>
                    <a:ln/>
                  </pic:spPr>
                </pic:pic>
              </a:graphicData>
            </a:graphic>
          </wp:inline>
        </w:drawing>
      </w:r>
      <w:r w:rsidR="0074138A" w:rsidRPr="0074138A">
        <w:rPr>
          <w:noProof/>
        </w:rPr>
        <w:drawing>
          <wp:inline distT="0" distB="0" distL="0" distR="0" wp14:anchorId="6C5D2A5A" wp14:editId="4D2E9CBB">
            <wp:extent cx="8915400" cy="971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53638" cy="975717"/>
                    </a:xfrm>
                    <a:prstGeom prst="rect">
                      <a:avLst/>
                    </a:prstGeom>
                    <a:noFill/>
                    <a:ln>
                      <a:noFill/>
                    </a:ln>
                  </pic:spPr>
                </pic:pic>
              </a:graphicData>
            </a:graphic>
          </wp:inline>
        </w:drawing>
      </w:r>
    </w:p>
    <w:p w:rsidR="00671507" w:rsidRDefault="00AC66A8">
      <w:pPr>
        <w:jc w:val="both"/>
        <w:rPr>
          <w:b/>
        </w:rPr>
      </w:pPr>
      <w:bookmarkStart w:id="0" w:name="_gjdgxs" w:colFirst="0" w:colLast="0"/>
      <w:bookmarkEnd w:id="0"/>
      <w:r>
        <w:rPr>
          <w:b/>
          <w:i/>
        </w:rPr>
        <w:t>Result:</w:t>
      </w:r>
      <w:r>
        <w:t xml:space="preserve"> Site performs satisfactorily in the Sustainability Analysis. The site is</w:t>
      </w:r>
      <w:r>
        <w:rPr>
          <w:b/>
        </w:rPr>
        <w:t xml:space="preserve"> </w:t>
      </w:r>
      <w:r>
        <w:t xml:space="preserve">deemed sustainable in order to enter the </w:t>
      </w:r>
      <w:r>
        <w:rPr>
          <w:b/>
        </w:rPr>
        <w:t>Pool of Sites</w:t>
      </w:r>
      <w:r>
        <w:t xml:space="preserve"> (with mitigation measures and recommendations). The site is a candidate for the Preferred Sites list for Low Bentham, subject to Stage 2 analysis below, and also a possible comparison of the site’s merits with other sustainable sites in Low Bentham if a surplus of sites exists. </w:t>
      </w:r>
    </w:p>
    <w:p w:rsidR="00671507" w:rsidRDefault="00AC66A8">
      <w:pPr>
        <w:rPr>
          <w:b/>
          <w:sz w:val="24"/>
          <w:szCs w:val="24"/>
          <w:u w:val="single"/>
        </w:rPr>
      </w:pPr>
      <w:r>
        <w:rPr>
          <w:b/>
          <w:sz w:val="24"/>
          <w:szCs w:val="24"/>
          <w:u w:val="single"/>
        </w:rPr>
        <w:t>Stage 2: District Level Analysis</w:t>
      </w:r>
    </w:p>
    <w:p w:rsidR="00671507" w:rsidRDefault="00AC66A8">
      <w:pPr>
        <w:numPr>
          <w:ilvl w:val="0"/>
          <w:numId w:val="3"/>
        </w:numPr>
        <w:ind w:hanging="720"/>
        <w:contextualSpacing/>
      </w:pPr>
      <w:r>
        <w:t>Viability of Affordable Housing Provision</w:t>
      </w:r>
    </w:p>
    <w:tbl>
      <w:tblPr>
        <w:tblStyle w:val="a"/>
        <w:tblW w:w="1428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08"/>
        <w:gridCol w:w="1275"/>
      </w:tblGrid>
      <w:tr w:rsidR="00671507">
        <w:tc>
          <w:tcPr>
            <w:tcW w:w="13008" w:type="dxa"/>
          </w:tcPr>
          <w:p w:rsidR="00671507" w:rsidRDefault="00AC66A8">
            <w:pPr>
              <w:numPr>
                <w:ilvl w:val="0"/>
                <w:numId w:val="5"/>
              </w:numPr>
              <w:ind w:hanging="360"/>
            </w:pPr>
            <w:r>
              <w:t>The site is likely to deliver 11 or more dwellings (irrespective of being in a designated rural area or not). Affordable housing on site is obtained.</w:t>
            </w:r>
          </w:p>
        </w:tc>
        <w:tc>
          <w:tcPr>
            <w:tcW w:w="1275" w:type="dxa"/>
          </w:tcPr>
          <w:p w:rsidR="00671507" w:rsidRDefault="00AC66A8">
            <w:pPr>
              <w:contextualSpacing w:val="0"/>
              <w:jc w:val="center"/>
              <w:rPr>
                <w:b/>
              </w:rPr>
            </w:pPr>
            <w:r>
              <w:rPr>
                <w:b/>
              </w:rPr>
              <w:t>Yes</w:t>
            </w:r>
          </w:p>
        </w:tc>
      </w:tr>
      <w:tr w:rsidR="00671507">
        <w:tc>
          <w:tcPr>
            <w:tcW w:w="13008" w:type="dxa"/>
          </w:tcPr>
          <w:p w:rsidR="00671507" w:rsidRDefault="00AC66A8">
            <w:pPr>
              <w:numPr>
                <w:ilvl w:val="0"/>
                <w:numId w:val="5"/>
              </w:numPr>
              <w:ind w:hanging="360"/>
            </w:pPr>
            <w:r>
              <w:t>The site is in a designated rural area, and is likely to deliver 6 or more dwellings. A financial contribution towards affordable housing is obtained.</w:t>
            </w:r>
          </w:p>
        </w:tc>
        <w:tc>
          <w:tcPr>
            <w:tcW w:w="1275" w:type="dxa"/>
          </w:tcPr>
          <w:p w:rsidR="00671507" w:rsidRDefault="00671507">
            <w:pPr>
              <w:contextualSpacing w:val="0"/>
              <w:jc w:val="center"/>
              <w:rPr>
                <w:b/>
              </w:rPr>
            </w:pPr>
          </w:p>
        </w:tc>
      </w:tr>
      <w:tr w:rsidR="00671507">
        <w:tc>
          <w:tcPr>
            <w:tcW w:w="13008" w:type="dxa"/>
          </w:tcPr>
          <w:p w:rsidR="00671507" w:rsidRDefault="00AC66A8">
            <w:pPr>
              <w:numPr>
                <w:ilvl w:val="0"/>
                <w:numId w:val="5"/>
              </w:numPr>
              <w:ind w:hanging="360"/>
            </w:pPr>
            <w:r>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671507" w:rsidRDefault="00671507">
            <w:pPr>
              <w:contextualSpacing w:val="0"/>
              <w:jc w:val="center"/>
              <w:rPr>
                <w:b/>
              </w:rPr>
            </w:pPr>
          </w:p>
        </w:tc>
      </w:tr>
    </w:tbl>
    <w:p w:rsidR="00671507" w:rsidRDefault="00AC66A8">
      <w:pPr>
        <w:numPr>
          <w:ilvl w:val="0"/>
          <w:numId w:val="3"/>
        </w:numPr>
        <w:ind w:hanging="720"/>
        <w:contextualSpacing/>
      </w:pPr>
      <w:r>
        <w:lastRenderedPageBreak/>
        <w:t>Site Proximity to Designated Landscape Features</w:t>
      </w:r>
    </w:p>
    <w:tbl>
      <w:tblPr>
        <w:tblStyle w:val="a0"/>
        <w:tblW w:w="1442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08"/>
        <w:gridCol w:w="1417"/>
      </w:tblGrid>
      <w:tr w:rsidR="00671507">
        <w:tc>
          <w:tcPr>
            <w:tcW w:w="13008" w:type="dxa"/>
          </w:tcPr>
          <w:p w:rsidR="00671507" w:rsidRDefault="00AC66A8">
            <w:pPr>
              <w:numPr>
                <w:ilvl w:val="0"/>
                <w:numId w:val="1"/>
              </w:numPr>
              <w:ind w:hanging="360"/>
              <w:jc w:val="both"/>
            </w:pPr>
            <w:r>
              <w:t xml:space="preserve">Site is likely to have potential to harm the special qualities of the designated landscapes of the YDNP or the AONB, and any harm cannot be </w:t>
            </w:r>
            <w:proofErr w:type="gramStart"/>
            <w:r>
              <w:t>mitigated</w:t>
            </w:r>
            <w:proofErr w:type="gramEnd"/>
            <w:r>
              <w:t xml:space="preserve"> against.</w:t>
            </w:r>
          </w:p>
          <w:p w:rsidR="00671507" w:rsidRDefault="00671507">
            <w:pPr>
              <w:contextualSpacing w:val="0"/>
            </w:pPr>
          </w:p>
        </w:tc>
        <w:tc>
          <w:tcPr>
            <w:tcW w:w="1417" w:type="dxa"/>
          </w:tcPr>
          <w:p w:rsidR="00671507" w:rsidRDefault="00AC66A8">
            <w:pPr>
              <w:contextualSpacing w:val="0"/>
              <w:jc w:val="center"/>
              <w:rPr>
                <w:b/>
              </w:rPr>
            </w:pPr>
            <w:r>
              <w:rPr>
                <w:b/>
              </w:rPr>
              <w:t>No</w:t>
            </w:r>
          </w:p>
        </w:tc>
      </w:tr>
      <w:tr w:rsidR="00671507">
        <w:tc>
          <w:tcPr>
            <w:tcW w:w="13008" w:type="dxa"/>
          </w:tcPr>
          <w:p w:rsidR="00671507" w:rsidRDefault="00AC66A8">
            <w:pPr>
              <w:numPr>
                <w:ilvl w:val="0"/>
                <w:numId w:val="1"/>
              </w:numPr>
              <w:ind w:hanging="360"/>
            </w:pPr>
            <w:r>
              <w:t>The location of the site in the context of the settlement (i.e. north-west, central, south-east, etc.; this gives an indication of relative proximity to YDNP or AONB, whichever is the nearest).</w:t>
            </w:r>
          </w:p>
        </w:tc>
        <w:tc>
          <w:tcPr>
            <w:tcW w:w="1417" w:type="dxa"/>
          </w:tcPr>
          <w:p w:rsidR="00671507" w:rsidRDefault="00AC66A8">
            <w:pPr>
              <w:contextualSpacing w:val="0"/>
              <w:jc w:val="center"/>
              <w:rPr>
                <w:b/>
              </w:rPr>
            </w:pPr>
            <w:r>
              <w:rPr>
                <w:b/>
              </w:rPr>
              <w:t>South-east</w:t>
            </w:r>
          </w:p>
        </w:tc>
      </w:tr>
    </w:tbl>
    <w:p w:rsidR="00671507" w:rsidRDefault="00671507">
      <w:pPr>
        <w:spacing w:after="0"/>
        <w:ind w:left="720"/>
      </w:pPr>
    </w:p>
    <w:p w:rsidR="00671507" w:rsidRDefault="00671507">
      <w:pPr>
        <w:spacing w:after="0"/>
        <w:ind w:left="720"/>
      </w:pPr>
    </w:p>
    <w:p w:rsidR="00671507" w:rsidRDefault="00AC66A8">
      <w:pPr>
        <w:numPr>
          <w:ilvl w:val="0"/>
          <w:numId w:val="3"/>
        </w:numPr>
        <w:spacing w:after="0"/>
        <w:ind w:left="720" w:hanging="360"/>
        <w:contextualSpacing/>
      </w:pPr>
      <w:r>
        <w:t>Site Proximity to Designated Natural Environment Features</w:t>
      </w:r>
    </w:p>
    <w:p w:rsidR="00671507" w:rsidRDefault="00671507">
      <w:pPr>
        <w:ind w:left="720"/>
        <w:rPr>
          <w:b/>
        </w:rPr>
      </w:pPr>
    </w:p>
    <w:tbl>
      <w:tblPr>
        <w:tblStyle w:val="a1"/>
        <w:tblW w:w="1442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08"/>
        <w:gridCol w:w="1417"/>
      </w:tblGrid>
      <w:tr w:rsidR="00671507">
        <w:tc>
          <w:tcPr>
            <w:tcW w:w="13008" w:type="dxa"/>
          </w:tcPr>
          <w:p w:rsidR="00671507" w:rsidRDefault="00AC66A8">
            <w:pPr>
              <w:numPr>
                <w:ilvl w:val="0"/>
                <w:numId w:val="2"/>
              </w:numPr>
              <w:ind w:hanging="360"/>
              <w:jc w:val="both"/>
            </w:pPr>
            <w:r>
              <w:t xml:space="preserve">Site is likely to have potential to harm the special qualities of the designated landscapes of the SPA, SAC or </w:t>
            </w:r>
            <w:proofErr w:type="spellStart"/>
            <w:r>
              <w:t>Ramsar</w:t>
            </w:r>
            <w:proofErr w:type="spellEnd"/>
            <w:r>
              <w:t xml:space="preserve">, and any harm cannot be </w:t>
            </w:r>
            <w:proofErr w:type="gramStart"/>
            <w:r>
              <w:t>mitigated</w:t>
            </w:r>
            <w:proofErr w:type="gramEnd"/>
            <w:r>
              <w:t xml:space="preserve"> against.</w:t>
            </w:r>
          </w:p>
          <w:p w:rsidR="00671507" w:rsidRDefault="00671507">
            <w:pPr>
              <w:contextualSpacing w:val="0"/>
            </w:pPr>
          </w:p>
        </w:tc>
        <w:tc>
          <w:tcPr>
            <w:tcW w:w="1417" w:type="dxa"/>
          </w:tcPr>
          <w:p w:rsidR="00671507" w:rsidRDefault="00AC66A8">
            <w:pPr>
              <w:contextualSpacing w:val="0"/>
              <w:jc w:val="center"/>
              <w:rPr>
                <w:b/>
              </w:rPr>
            </w:pPr>
            <w:r>
              <w:rPr>
                <w:b/>
              </w:rPr>
              <w:t>No</w:t>
            </w:r>
          </w:p>
        </w:tc>
      </w:tr>
      <w:tr w:rsidR="00671507">
        <w:tc>
          <w:tcPr>
            <w:tcW w:w="13008" w:type="dxa"/>
          </w:tcPr>
          <w:p w:rsidR="00671507" w:rsidRDefault="00AC66A8">
            <w:pPr>
              <w:numPr>
                <w:ilvl w:val="0"/>
                <w:numId w:val="2"/>
              </w:numPr>
              <w:ind w:hanging="360"/>
            </w:pPr>
            <w:r>
              <w:t xml:space="preserve">The location of the site in the context of the settlement (i.e. north-west, central, south-east, etc.; this gives an indication of relative proximity to a SPA, SAC or </w:t>
            </w:r>
            <w:proofErr w:type="spellStart"/>
            <w:r>
              <w:t>Ramsar</w:t>
            </w:r>
            <w:proofErr w:type="spellEnd"/>
            <w:r>
              <w:t>, whichever is the nearest).</w:t>
            </w:r>
          </w:p>
        </w:tc>
        <w:tc>
          <w:tcPr>
            <w:tcW w:w="1417" w:type="dxa"/>
          </w:tcPr>
          <w:p w:rsidR="00671507" w:rsidRDefault="00AC66A8">
            <w:pPr>
              <w:contextualSpacing w:val="0"/>
              <w:jc w:val="center"/>
              <w:rPr>
                <w:b/>
              </w:rPr>
            </w:pPr>
            <w:r>
              <w:rPr>
                <w:b/>
              </w:rPr>
              <w:t>South-east</w:t>
            </w:r>
          </w:p>
        </w:tc>
      </w:tr>
    </w:tbl>
    <w:p w:rsidR="00671507" w:rsidRDefault="00671507"/>
    <w:p w:rsidR="00671507" w:rsidRDefault="00AC66A8">
      <w:pPr>
        <w:numPr>
          <w:ilvl w:val="0"/>
          <w:numId w:val="3"/>
        </w:numPr>
        <w:spacing w:after="0"/>
        <w:ind w:left="720" w:hanging="360"/>
        <w:contextualSpacing/>
      </w:pPr>
      <w:r>
        <w:t>Site Position in relation to Health &amp; Safety Executive (HSE) Zone</w:t>
      </w:r>
    </w:p>
    <w:p w:rsidR="00671507" w:rsidRDefault="00671507">
      <w:pPr>
        <w:ind w:left="720"/>
        <w:rPr>
          <w:b/>
        </w:rPr>
      </w:pPr>
    </w:p>
    <w:tbl>
      <w:tblPr>
        <w:tblStyle w:val="a2"/>
        <w:tblW w:w="1442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08"/>
        <w:gridCol w:w="1417"/>
      </w:tblGrid>
      <w:tr w:rsidR="00671507">
        <w:tc>
          <w:tcPr>
            <w:tcW w:w="13008" w:type="dxa"/>
          </w:tcPr>
          <w:p w:rsidR="00671507" w:rsidRDefault="00AC66A8">
            <w:pPr>
              <w:numPr>
                <w:ilvl w:val="0"/>
                <w:numId w:val="4"/>
              </w:numPr>
              <w:ind w:hanging="360"/>
            </w:pPr>
            <w:r>
              <w:t>The site lies in the outer Health &amp; Safety Executive zone, or not in an HSE zone.</w:t>
            </w:r>
          </w:p>
        </w:tc>
        <w:tc>
          <w:tcPr>
            <w:tcW w:w="1417" w:type="dxa"/>
          </w:tcPr>
          <w:p w:rsidR="00671507" w:rsidRDefault="00AC66A8">
            <w:pPr>
              <w:contextualSpacing w:val="0"/>
              <w:jc w:val="center"/>
              <w:rPr>
                <w:b/>
              </w:rPr>
            </w:pPr>
            <w:r>
              <w:rPr>
                <w:b/>
              </w:rPr>
              <w:t>Yes</w:t>
            </w:r>
          </w:p>
        </w:tc>
      </w:tr>
      <w:tr w:rsidR="00671507">
        <w:tc>
          <w:tcPr>
            <w:tcW w:w="13008" w:type="dxa"/>
          </w:tcPr>
          <w:p w:rsidR="00671507" w:rsidRDefault="00AC66A8">
            <w:pPr>
              <w:numPr>
                <w:ilvl w:val="0"/>
                <w:numId w:val="4"/>
              </w:numPr>
              <w:ind w:hanging="360"/>
            </w:pPr>
            <w:r>
              <w:t>The site lies in the Health &amp; Safety Executive middle zone.</w:t>
            </w:r>
          </w:p>
        </w:tc>
        <w:tc>
          <w:tcPr>
            <w:tcW w:w="1417" w:type="dxa"/>
          </w:tcPr>
          <w:p w:rsidR="00671507" w:rsidRDefault="00671507">
            <w:pPr>
              <w:contextualSpacing w:val="0"/>
              <w:jc w:val="center"/>
            </w:pPr>
          </w:p>
        </w:tc>
      </w:tr>
      <w:tr w:rsidR="00671507">
        <w:tc>
          <w:tcPr>
            <w:tcW w:w="13008" w:type="dxa"/>
          </w:tcPr>
          <w:p w:rsidR="00671507" w:rsidRDefault="00AC66A8">
            <w:pPr>
              <w:numPr>
                <w:ilvl w:val="0"/>
                <w:numId w:val="4"/>
              </w:numPr>
              <w:ind w:hanging="360"/>
            </w:pPr>
            <w:r>
              <w:t>The site lies in the Health &amp; Safety Executive inner zone.</w:t>
            </w:r>
          </w:p>
        </w:tc>
        <w:tc>
          <w:tcPr>
            <w:tcW w:w="1417" w:type="dxa"/>
          </w:tcPr>
          <w:p w:rsidR="00671507" w:rsidRDefault="00671507">
            <w:pPr>
              <w:contextualSpacing w:val="0"/>
              <w:jc w:val="center"/>
            </w:pPr>
          </w:p>
        </w:tc>
      </w:tr>
    </w:tbl>
    <w:p w:rsidR="00671507" w:rsidRDefault="00671507"/>
    <w:p w:rsidR="00671507" w:rsidRDefault="00AC66A8">
      <w:pPr>
        <w:jc w:val="both"/>
      </w:pPr>
      <w:r>
        <w:rPr>
          <w:b/>
          <w:i/>
        </w:rPr>
        <w:t>Result:</w:t>
      </w:r>
      <w:r>
        <w:rPr>
          <w:b/>
        </w:rPr>
        <w:t xml:space="preserve"> </w:t>
      </w:r>
      <w:r>
        <w:t xml:space="preserve">The site passes all four District Level Analyses. After a comparison with other Pool of Site options in Low Bentham, the site is considered suitable as the </w:t>
      </w:r>
      <w:r>
        <w:rPr>
          <w:b/>
        </w:rPr>
        <w:t>Preferred Site</w:t>
      </w:r>
      <w:r>
        <w:t xml:space="preserve"> in this settlement. [If a Preferred Site after comparison, explain in the narrative below, and if not a Preferred Site after comparison, explain comparative reasons here in the context of the settlement’s chosen Preferred Sites]</w:t>
      </w:r>
    </w:p>
    <w:p w:rsidR="00671507" w:rsidRDefault="00AC66A8">
      <w:pPr>
        <w:rPr>
          <w:b/>
          <w:sz w:val="24"/>
          <w:szCs w:val="24"/>
          <w:u w:val="single"/>
        </w:rPr>
      </w:pPr>
      <w:r>
        <w:rPr>
          <w:b/>
          <w:sz w:val="24"/>
          <w:szCs w:val="24"/>
          <w:u w:val="single"/>
        </w:rPr>
        <w:lastRenderedPageBreak/>
        <w:t xml:space="preserve">Narrative of Site Analysis </w:t>
      </w:r>
    </w:p>
    <w:p w:rsidR="00671507" w:rsidRDefault="00AC66A8">
      <w:pPr>
        <w:jc w:val="both"/>
      </w:pPr>
      <w:r>
        <w:t>LB012 returns a mixture of positive and neutral results in the analysis with only one negative. Advantages of the site include low flood risk, safe road access and nil impact on the recommended conservation area for Low Bentham. Furthermore, whilst the site is located close to the edge of the settlement, where development may have a greater impact on the wider landscape, it is also fairly close to the village centre, partly brownfield and between existing ribbon development. The site contains some land of greater agricultural value (grade 3) and is of some archaeological interest. The latter is likely to require further and more detailed consideration or investigation.</w:t>
      </w:r>
    </w:p>
    <w:p w:rsidR="00671507" w:rsidRDefault="0012353D">
      <w:pPr>
        <w:rPr>
          <w:b/>
        </w:rPr>
      </w:pPr>
      <w:r>
        <w:rPr>
          <w:b/>
          <w:i/>
        </w:rPr>
        <w:t xml:space="preserve">Approx. </w:t>
      </w:r>
      <w:r w:rsidR="00AC66A8">
        <w:rPr>
          <w:b/>
          <w:i/>
        </w:rPr>
        <w:t>Area:</w:t>
      </w:r>
      <w:r w:rsidR="00AC66A8">
        <w:rPr>
          <w:b/>
        </w:rPr>
        <w:t xml:space="preserve"> </w:t>
      </w:r>
      <w:r w:rsidR="00AC66A8">
        <w:t>0.6 hectares</w:t>
      </w:r>
    </w:p>
    <w:p w:rsidR="00671507" w:rsidRDefault="0012353D">
      <w:pPr>
        <w:rPr>
          <w:b/>
        </w:rPr>
      </w:pPr>
      <w:r>
        <w:rPr>
          <w:b/>
          <w:i/>
        </w:rPr>
        <w:t xml:space="preserve">Approx. </w:t>
      </w:r>
      <w:r w:rsidR="00AC66A8">
        <w:rPr>
          <w:b/>
          <w:i/>
        </w:rPr>
        <w:t>Number of Dwellings:</w:t>
      </w:r>
      <w:r w:rsidR="00AC66A8">
        <w:rPr>
          <w:b/>
        </w:rPr>
        <w:t xml:space="preserve"> </w:t>
      </w:r>
      <w:r w:rsidR="00AC66A8">
        <w:t>1</w:t>
      </w:r>
      <w:r w:rsidR="00257056">
        <w:t>8</w:t>
      </w:r>
    </w:p>
    <w:p w:rsidR="00671507" w:rsidRDefault="00AC66A8">
      <w:pPr>
        <w:rPr>
          <w:b/>
          <w:i/>
        </w:rPr>
      </w:pPr>
      <w:r>
        <w:rPr>
          <w:b/>
          <w:i/>
        </w:rPr>
        <w:t xml:space="preserve">Development Principles: </w:t>
      </w:r>
    </w:p>
    <w:p w:rsidR="00714578" w:rsidRPr="00714578" w:rsidRDefault="00714578" w:rsidP="00714578">
      <w:pPr>
        <w:widowControl/>
        <w:numPr>
          <w:ilvl w:val="0"/>
          <w:numId w:val="7"/>
        </w:numPr>
        <w:ind w:left="318" w:hanging="284"/>
        <w:contextualSpacing/>
        <w:rPr>
          <w:rFonts w:asciiTheme="minorHAnsi" w:eastAsiaTheme="minorHAnsi" w:hAnsiTheme="minorHAnsi" w:cstheme="minorHAnsi"/>
          <w:b/>
          <w:color w:val="auto"/>
          <w:lang w:eastAsia="en-US"/>
        </w:rPr>
      </w:pPr>
      <w:r w:rsidRPr="00714578">
        <w:rPr>
          <w:rFonts w:asciiTheme="minorHAnsi" w:eastAsiaTheme="minorHAnsi" w:hAnsiTheme="minorHAnsi" w:cstheme="minorHAnsi"/>
          <w:color w:val="auto"/>
          <w:lang w:eastAsia="en-US"/>
        </w:rPr>
        <w:t>An assessment of the site’s archaeological interest will be required with appropriate mitigation incorporated into development proposals where necessary;</w:t>
      </w:r>
    </w:p>
    <w:p w:rsidR="00714578" w:rsidRPr="00714578" w:rsidRDefault="00714578" w:rsidP="00714578">
      <w:pPr>
        <w:widowControl/>
        <w:ind w:left="720"/>
        <w:contextualSpacing/>
        <w:rPr>
          <w:rFonts w:asciiTheme="minorHAnsi" w:eastAsiaTheme="minorHAnsi" w:hAnsiTheme="minorHAnsi" w:cstheme="minorHAnsi"/>
          <w:b/>
          <w:color w:val="auto"/>
          <w:lang w:eastAsia="en-US"/>
        </w:rPr>
      </w:pPr>
    </w:p>
    <w:p w:rsidR="00714578" w:rsidRPr="00714578" w:rsidRDefault="00714578" w:rsidP="00714578">
      <w:pPr>
        <w:widowControl/>
        <w:numPr>
          <w:ilvl w:val="0"/>
          <w:numId w:val="7"/>
        </w:numPr>
        <w:ind w:left="318" w:hanging="284"/>
        <w:contextualSpacing/>
        <w:rPr>
          <w:rFonts w:asciiTheme="minorHAnsi" w:eastAsiaTheme="minorHAnsi" w:hAnsiTheme="minorHAnsi" w:cstheme="minorHAnsi"/>
          <w:b/>
          <w:color w:val="auto"/>
          <w:lang w:eastAsia="en-US"/>
        </w:rPr>
      </w:pPr>
      <w:r w:rsidRPr="00714578">
        <w:rPr>
          <w:rFonts w:asciiTheme="minorHAnsi" w:eastAsiaTheme="minorHAnsi" w:hAnsiTheme="minorHAnsi" w:cstheme="minorHAnsi"/>
          <w:color w:val="auto"/>
          <w:lang w:eastAsia="en-US"/>
        </w:rPr>
        <w:t>Access to the site will be gained from the B6480;</w:t>
      </w:r>
    </w:p>
    <w:p w:rsidR="00714578" w:rsidRPr="00714578" w:rsidRDefault="00714578" w:rsidP="00714578">
      <w:pPr>
        <w:widowControl/>
        <w:ind w:left="720"/>
        <w:contextualSpacing/>
        <w:rPr>
          <w:rFonts w:asciiTheme="minorHAnsi" w:eastAsiaTheme="minorHAnsi" w:hAnsiTheme="minorHAnsi" w:cstheme="minorHAnsi"/>
          <w:b/>
          <w:color w:val="auto"/>
          <w:lang w:eastAsia="en-US"/>
        </w:rPr>
      </w:pPr>
    </w:p>
    <w:p w:rsidR="00714578" w:rsidRPr="00714578" w:rsidRDefault="00714578" w:rsidP="00714578">
      <w:pPr>
        <w:widowControl/>
        <w:numPr>
          <w:ilvl w:val="0"/>
          <w:numId w:val="7"/>
        </w:numPr>
        <w:ind w:left="318" w:hanging="284"/>
        <w:contextualSpacing/>
        <w:rPr>
          <w:rFonts w:asciiTheme="minorHAnsi" w:eastAsiaTheme="minorHAnsi" w:hAnsiTheme="minorHAnsi" w:cstheme="minorHAnsi"/>
          <w:b/>
          <w:color w:val="auto"/>
          <w:lang w:eastAsia="en-US"/>
        </w:rPr>
      </w:pPr>
      <w:r w:rsidRPr="00714578">
        <w:rPr>
          <w:rFonts w:asciiTheme="minorHAnsi" w:eastAsiaTheme="minorHAnsi" w:hAnsiTheme="minorHAnsi" w:cstheme="minorHAnsi"/>
          <w:color w:val="auto"/>
          <w:lang w:eastAsia="en-US"/>
        </w:rPr>
        <w:t xml:space="preserve">The design of proposals shall conserve the landscape and scenic beauty of the Forest of </w:t>
      </w:r>
      <w:proofErr w:type="spellStart"/>
      <w:r w:rsidRPr="00714578">
        <w:rPr>
          <w:rFonts w:asciiTheme="minorHAnsi" w:eastAsiaTheme="minorHAnsi" w:hAnsiTheme="minorHAnsi" w:cstheme="minorHAnsi"/>
          <w:color w:val="auto"/>
          <w:lang w:eastAsia="en-US"/>
        </w:rPr>
        <w:t>Bowland</w:t>
      </w:r>
      <w:proofErr w:type="spellEnd"/>
      <w:r w:rsidRPr="00714578">
        <w:rPr>
          <w:rFonts w:asciiTheme="minorHAnsi" w:eastAsiaTheme="minorHAnsi" w:hAnsiTheme="minorHAnsi" w:cstheme="minorHAnsi"/>
          <w:color w:val="auto"/>
          <w:lang w:eastAsia="en-US"/>
        </w:rPr>
        <w:t xml:space="preserve"> AONB;</w:t>
      </w:r>
    </w:p>
    <w:p w:rsidR="00714578" w:rsidRPr="00714578" w:rsidRDefault="00714578" w:rsidP="00714578">
      <w:pPr>
        <w:widowControl/>
        <w:ind w:left="720"/>
        <w:contextualSpacing/>
        <w:rPr>
          <w:rFonts w:asciiTheme="minorHAnsi" w:eastAsiaTheme="minorHAnsi" w:hAnsiTheme="minorHAnsi" w:cstheme="minorHAnsi"/>
          <w:b/>
          <w:color w:val="auto"/>
          <w:lang w:eastAsia="en-US"/>
        </w:rPr>
      </w:pPr>
    </w:p>
    <w:p w:rsidR="00714578" w:rsidRPr="00714578" w:rsidRDefault="00714578" w:rsidP="00714578">
      <w:pPr>
        <w:widowControl/>
        <w:numPr>
          <w:ilvl w:val="0"/>
          <w:numId w:val="7"/>
        </w:numPr>
        <w:ind w:left="318" w:hanging="284"/>
        <w:contextualSpacing/>
        <w:rPr>
          <w:rFonts w:asciiTheme="minorHAnsi" w:eastAsiaTheme="minorHAnsi" w:hAnsiTheme="minorHAnsi" w:cstheme="minorHAnsi"/>
          <w:b/>
          <w:color w:val="auto"/>
          <w:lang w:eastAsia="en-US"/>
        </w:rPr>
      </w:pPr>
      <w:r w:rsidRPr="00714578">
        <w:rPr>
          <w:rFonts w:asciiTheme="minorHAnsi" w:eastAsiaTheme="minorHAnsi" w:hAnsiTheme="minorHAnsi" w:cstheme="minorHAnsi"/>
          <w:color w:val="auto"/>
          <w:lang w:eastAsia="en-US"/>
        </w:rPr>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p>
    <w:p w:rsidR="00714578" w:rsidRPr="00714578" w:rsidRDefault="00714578">
      <w:bookmarkStart w:id="1" w:name="_GoBack"/>
      <w:bookmarkEnd w:id="1"/>
    </w:p>
    <w:sectPr w:rsidR="00714578" w:rsidRPr="00714578">
      <w:footerReference w:type="default" r:id="rId10"/>
      <w:pgSz w:w="16838" w:h="11906"/>
      <w:pgMar w:top="1440" w:right="1440" w:bottom="1440" w:left="144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C57" w:rsidRDefault="00D73C57">
      <w:pPr>
        <w:spacing w:after="0" w:line="240" w:lineRule="auto"/>
      </w:pPr>
      <w:r>
        <w:separator/>
      </w:r>
    </w:p>
  </w:endnote>
  <w:endnote w:type="continuationSeparator" w:id="0">
    <w:p w:rsidR="00D73C57" w:rsidRDefault="00D73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507" w:rsidRDefault="00AC66A8">
    <w:pPr>
      <w:tabs>
        <w:tab w:val="center" w:pos="4513"/>
        <w:tab w:val="right" w:pos="9026"/>
      </w:tabs>
      <w:spacing w:after="0" w:line="240" w:lineRule="auto"/>
      <w:jc w:val="center"/>
    </w:pPr>
    <w:r>
      <w:fldChar w:fldCharType="begin"/>
    </w:r>
    <w:r>
      <w:instrText>PAGE</w:instrText>
    </w:r>
    <w:r>
      <w:fldChar w:fldCharType="separate"/>
    </w:r>
    <w:r w:rsidR="00714578">
      <w:rPr>
        <w:noProof/>
      </w:rPr>
      <w:t>3</w:t>
    </w:r>
    <w:r>
      <w:fldChar w:fldCharType="end"/>
    </w:r>
  </w:p>
  <w:p w:rsidR="00671507" w:rsidRDefault="00671507">
    <w:pPr>
      <w:tabs>
        <w:tab w:val="center" w:pos="4513"/>
        <w:tab w:val="right" w:pos="9026"/>
      </w:tabs>
      <w:spacing w:after="708"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C57" w:rsidRDefault="00D73C57">
      <w:pPr>
        <w:spacing w:after="0" w:line="240" w:lineRule="auto"/>
      </w:pPr>
      <w:r>
        <w:separator/>
      </w:r>
    </w:p>
  </w:footnote>
  <w:footnote w:type="continuationSeparator" w:id="0">
    <w:p w:rsidR="00D73C57" w:rsidRDefault="00D73C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786CA0"/>
    <w:multiLevelType w:val="multilevel"/>
    <w:tmpl w:val="0E427946"/>
    <w:lvl w:ilvl="0">
      <w:start w:val="1"/>
      <w:numFmt w:val="upp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nsid w:val="32954BB9"/>
    <w:multiLevelType w:val="multilevel"/>
    <w:tmpl w:val="63F896A2"/>
    <w:lvl w:ilvl="0">
      <w:start w:val="1"/>
      <w:numFmt w:val="upperRoman"/>
      <w:lvlText w:val="(%1)"/>
      <w:lvlJc w:val="left"/>
      <w:pPr>
        <w:ind w:left="108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
    <w:nsid w:val="35E97B7D"/>
    <w:multiLevelType w:val="hybridMultilevel"/>
    <w:tmpl w:val="88A6D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B072D93"/>
    <w:multiLevelType w:val="multilevel"/>
    <w:tmpl w:val="4F221C20"/>
    <w:lvl w:ilvl="0">
      <w:start w:val="1"/>
      <w:numFmt w:val="upp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
    <w:nsid w:val="3C1241EB"/>
    <w:multiLevelType w:val="multilevel"/>
    <w:tmpl w:val="2AB60970"/>
    <w:lvl w:ilvl="0">
      <w:start w:val="1"/>
      <w:numFmt w:val="upp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
    <w:nsid w:val="5C863D1A"/>
    <w:multiLevelType w:val="hybridMultilevel"/>
    <w:tmpl w:val="BFB87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68D5C40"/>
    <w:multiLevelType w:val="multilevel"/>
    <w:tmpl w:val="BFACA114"/>
    <w:lvl w:ilvl="0">
      <w:start w:val="1"/>
      <w:numFmt w:val="upp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4"/>
  </w:num>
  <w:num w:numId="2">
    <w:abstractNumId w:val="3"/>
  </w:num>
  <w:num w:numId="3">
    <w:abstractNumId w:val="1"/>
  </w:num>
  <w:num w:numId="4">
    <w:abstractNumId w:val="0"/>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671507"/>
    <w:rsid w:val="0012353D"/>
    <w:rsid w:val="0016024A"/>
    <w:rsid w:val="001F611B"/>
    <w:rsid w:val="00257056"/>
    <w:rsid w:val="002F04A1"/>
    <w:rsid w:val="00322BB4"/>
    <w:rsid w:val="00671507"/>
    <w:rsid w:val="00714578"/>
    <w:rsid w:val="0074138A"/>
    <w:rsid w:val="00AC66A8"/>
    <w:rsid w:val="00BD6E95"/>
    <w:rsid w:val="00D73C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en-GB" w:eastAsia="en-GB"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spacing w:after="0" w:line="240" w:lineRule="auto"/>
      <w:contextualSpacing/>
    </w:pPr>
    <w:tblPr>
      <w:tblStyleRowBandSize w:val="1"/>
      <w:tblStyleColBandSize w:val="1"/>
      <w:tblCellMar>
        <w:left w:w="115" w:type="dxa"/>
        <w:right w:w="115" w:type="dxa"/>
      </w:tblCellMar>
    </w:tblPr>
  </w:style>
  <w:style w:type="table" w:customStyle="1" w:styleId="a0">
    <w:basedOn w:val="TableNormal"/>
    <w:pPr>
      <w:spacing w:after="0" w:line="240" w:lineRule="auto"/>
      <w:contextualSpacing/>
    </w:pPr>
    <w:tblPr>
      <w:tblStyleRowBandSize w:val="1"/>
      <w:tblStyleColBandSize w:val="1"/>
      <w:tblCellMar>
        <w:left w:w="115" w:type="dxa"/>
        <w:right w:w="115" w:type="dxa"/>
      </w:tblCellMar>
    </w:tblPr>
  </w:style>
  <w:style w:type="table" w:customStyle="1" w:styleId="a1">
    <w:basedOn w:val="TableNormal"/>
    <w:pPr>
      <w:spacing w:after="0" w:line="240" w:lineRule="auto"/>
      <w:contextualSpacing/>
    </w:pPr>
    <w:tblPr>
      <w:tblStyleRowBandSize w:val="1"/>
      <w:tblStyleColBandSize w:val="1"/>
      <w:tblCellMar>
        <w:left w:w="115" w:type="dxa"/>
        <w:right w:w="115" w:type="dxa"/>
      </w:tblCellMar>
    </w:tblPr>
  </w:style>
  <w:style w:type="table" w:customStyle="1" w:styleId="a2">
    <w:basedOn w:val="TableNormal"/>
    <w:pPr>
      <w:spacing w:after="0" w:line="240" w:lineRule="auto"/>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AC66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66A8"/>
    <w:rPr>
      <w:rFonts w:ascii="Tahoma" w:hAnsi="Tahoma" w:cs="Tahoma"/>
      <w:sz w:val="16"/>
      <w:szCs w:val="16"/>
    </w:rPr>
  </w:style>
  <w:style w:type="paragraph" w:styleId="ListParagraph">
    <w:name w:val="List Paragraph"/>
    <w:basedOn w:val="Normal"/>
    <w:uiPriority w:val="34"/>
    <w:qFormat/>
    <w:rsid w:val="001F611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GB" w:eastAsia="en-GB"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spacing w:after="0" w:line="240" w:lineRule="auto"/>
      <w:contextualSpacing/>
    </w:pPr>
    <w:tblPr>
      <w:tblStyleRowBandSize w:val="1"/>
      <w:tblStyleColBandSize w:val="1"/>
      <w:tblCellMar>
        <w:left w:w="115" w:type="dxa"/>
        <w:right w:w="115" w:type="dxa"/>
      </w:tblCellMar>
    </w:tblPr>
  </w:style>
  <w:style w:type="table" w:customStyle="1" w:styleId="a0">
    <w:basedOn w:val="TableNormal"/>
    <w:pPr>
      <w:spacing w:after="0" w:line="240" w:lineRule="auto"/>
      <w:contextualSpacing/>
    </w:pPr>
    <w:tblPr>
      <w:tblStyleRowBandSize w:val="1"/>
      <w:tblStyleColBandSize w:val="1"/>
      <w:tblCellMar>
        <w:left w:w="115" w:type="dxa"/>
        <w:right w:w="115" w:type="dxa"/>
      </w:tblCellMar>
    </w:tblPr>
  </w:style>
  <w:style w:type="table" w:customStyle="1" w:styleId="a1">
    <w:basedOn w:val="TableNormal"/>
    <w:pPr>
      <w:spacing w:after="0" w:line="240" w:lineRule="auto"/>
      <w:contextualSpacing/>
    </w:pPr>
    <w:tblPr>
      <w:tblStyleRowBandSize w:val="1"/>
      <w:tblStyleColBandSize w:val="1"/>
      <w:tblCellMar>
        <w:left w:w="115" w:type="dxa"/>
        <w:right w:w="115" w:type="dxa"/>
      </w:tblCellMar>
    </w:tblPr>
  </w:style>
  <w:style w:type="table" w:customStyle="1" w:styleId="a2">
    <w:basedOn w:val="TableNormal"/>
    <w:pPr>
      <w:spacing w:after="0" w:line="240" w:lineRule="auto"/>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AC66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66A8"/>
    <w:rPr>
      <w:rFonts w:ascii="Tahoma" w:hAnsi="Tahoma" w:cs="Tahoma"/>
      <w:sz w:val="16"/>
      <w:szCs w:val="16"/>
    </w:rPr>
  </w:style>
  <w:style w:type="paragraph" w:styleId="ListParagraph">
    <w:name w:val="List Paragraph"/>
    <w:basedOn w:val="Normal"/>
    <w:uiPriority w:val="34"/>
    <w:qFormat/>
    <w:rsid w:val="001F61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617</Words>
  <Characters>3522</Characters>
  <Application>Microsoft Office Word</Application>
  <DocSecurity>0</DocSecurity>
  <Lines>29</Lines>
  <Paragraphs>8</Paragraphs>
  <ScaleCrop>false</ScaleCrop>
  <Company/>
  <LinksUpToDate>false</LinksUpToDate>
  <CharactersWithSpaces>4131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 Feeney</cp:lastModifiedBy>
  <cp:revision>10</cp:revision>
  <dcterms:created xsi:type="dcterms:W3CDTF">2017-03-20T13:47:00Z</dcterms:created>
  <dcterms:modified xsi:type="dcterms:W3CDTF">2019-11-10T21:13:00Z</dcterms:modified>
</cp:coreProperties>
</file>